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AE" w:rsidRDefault="00920FAE">
      <w:pPr>
        <w:rPr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269"/>
        <w:gridCol w:w="7461"/>
      </w:tblGrid>
      <w:tr w:rsidR="00594FAE" w:rsidTr="00680A98">
        <w:tc>
          <w:tcPr>
            <w:tcW w:w="9730" w:type="dxa"/>
            <w:gridSpan w:val="2"/>
          </w:tcPr>
          <w:p w:rsidR="00594FAE" w:rsidRDefault="00767EBC" w:rsidP="00594FAE">
            <w:pPr>
              <w:rPr>
                <w:b/>
                <w:lang w:val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3994990</wp:posOffset>
                      </wp:positionH>
                      <wp:positionV relativeFrom="paragraph">
                        <wp:posOffset>87015</wp:posOffset>
                      </wp:positionV>
                      <wp:extent cx="1622322" cy="1585452"/>
                      <wp:effectExtent l="0" t="0" r="1651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2322" cy="15854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767EBC" w:rsidRDefault="00767EBC">
                                  <w:r w:rsidRPr="00767EBC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432560" cy="1476219"/>
                                        <wp:effectExtent l="0" t="0" r="0" b="0"/>
                                        <wp:docPr id="2" name="Picture 2" descr="C:\Users\kdavies\Desktop\Boyton Logo-Green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kdavies\Desktop\Boyton Logo-Gree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2560" cy="14762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14.55pt;margin-top:6.85pt;width:127.75pt;height:1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" fillcolor="white [3201]" strokecolor="white [3212]" strokeweight=".5pt">
                      <v:textbox>
                        <w:txbxContent>
                          <w:p w14:paraId="28A36F60" w14:textId="77777777" w:rsidR="00767EBC" w:rsidRDefault="00767EBC">
                            <w:r w:rsidRPr="00767EB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32560" cy="1476219"/>
                                  <wp:effectExtent l="0" t="0" r="0" b="0"/>
                                  <wp:docPr id="2" name="Picture 2" descr="C:\Users\kdavies\Desktop\Boyton Logo-Gre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davies\Desktop\Boyton Logo-Gre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560" cy="1476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2C75">
              <w:rPr>
                <w:b/>
                <w:lang w:val="en-US"/>
              </w:rPr>
              <w:t>Music Development Plan</w:t>
            </w:r>
          </w:p>
          <w:p w:rsidR="00147B35" w:rsidRDefault="00147B35" w:rsidP="00594F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School: Boyton Primary School</w:t>
            </w:r>
          </w:p>
          <w:p w:rsidR="00147B35" w:rsidRDefault="00147B35" w:rsidP="00594F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Trust: TDAT</w:t>
            </w:r>
          </w:p>
          <w:p w:rsidR="00147B35" w:rsidRDefault="00147B35" w:rsidP="00594F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Local Music hub: ASONE</w:t>
            </w:r>
          </w:p>
          <w:p w:rsidR="00147B35" w:rsidRDefault="00147B35" w:rsidP="00594F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Music Lead: K Davies</w:t>
            </w:r>
          </w:p>
          <w:p w:rsidR="00147B35" w:rsidRDefault="00147B35" w:rsidP="00594F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Head of School: K Davies</w:t>
            </w:r>
          </w:p>
          <w:p w:rsidR="00147B35" w:rsidRDefault="00147B35" w:rsidP="00594FAE">
            <w:pPr>
              <w:rPr>
                <w:b/>
                <w:lang w:val="en-US"/>
              </w:rPr>
            </w:pPr>
          </w:p>
          <w:p w:rsidR="00147B35" w:rsidRDefault="00147B35" w:rsidP="00594F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written: January 2024</w:t>
            </w:r>
          </w:p>
          <w:p w:rsidR="00147B35" w:rsidRDefault="00945AC0" w:rsidP="00594F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Updated: July </w:t>
            </w:r>
            <w:r w:rsidR="00147B35">
              <w:rPr>
                <w:b/>
                <w:lang w:val="en-US"/>
              </w:rPr>
              <w:t>2025</w:t>
            </w:r>
          </w:p>
          <w:p w:rsidR="00945AC0" w:rsidRDefault="00945AC0" w:rsidP="00594F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Review: July 2025</w:t>
            </w:r>
          </w:p>
          <w:p w:rsidR="0072524E" w:rsidRPr="00920FAE" w:rsidRDefault="0072524E" w:rsidP="00594FAE">
            <w:pPr>
              <w:rPr>
                <w:b/>
                <w:lang w:val="en-US"/>
              </w:rPr>
            </w:pPr>
          </w:p>
        </w:tc>
      </w:tr>
      <w:tr w:rsidR="00594FAE" w:rsidTr="00680A98">
        <w:tc>
          <w:tcPr>
            <w:tcW w:w="2269" w:type="dxa"/>
          </w:tcPr>
          <w:p w:rsidR="00594FAE" w:rsidRPr="00594FAE" w:rsidRDefault="00594FAE" w:rsidP="00920F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  <w:r w:rsidRPr="00920FAE">
              <w:rPr>
                <w:b/>
                <w:lang w:val="en-US"/>
              </w:rPr>
              <w:t xml:space="preserve"> Overall objective</w:t>
            </w:r>
          </w:p>
        </w:tc>
        <w:tc>
          <w:tcPr>
            <w:tcW w:w="7461" w:type="dxa"/>
          </w:tcPr>
          <w:p w:rsidR="00594FAE" w:rsidRDefault="0072524E" w:rsidP="00594FAE">
            <w:pPr>
              <w:rPr>
                <w:lang w:val="en-US"/>
              </w:rPr>
            </w:pPr>
            <w:r>
              <w:rPr>
                <w:lang w:val="en-US"/>
              </w:rPr>
              <w:t>Pupils leave Boyton P</w:t>
            </w:r>
            <w:r w:rsidR="00594FAE">
              <w:rPr>
                <w:lang w:val="en-US"/>
              </w:rPr>
              <w:t>rimary School having developed a love of music and an understanding of how to make music.</w:t>
            </w:r>
          </w:p>
          <w:p w:rsidR="00594FAE" w:rsidRDefault="00594FAE" w:rsidP="00594FAE">
            <w:pPr>
              <w:rPr>
                <w:b/>
                <w:lang w:val="en-US"/>
              </w:rPr>
            </w:pPr>
            <w:r w:rsidRPr="00920FAE">
              <w:rPr>
                <w:b/>
                <w:lang w:val="en-US"/>
              </w:rPr>
              <w:t>Pupils develop a life-long love of music. They’re given the opportunities to experience a high quality range of recorded and live music and learn to play a range of instruments including the voice with increasing skill and confidence.</w:t>
            </w:r>
          </w:p>
          <w:p w:rsidR="00594FAE" w:rsidRPr="00920FAE" w:rsidRDefault="00594FAE">
            <w:pPr>
              <w:rPr>
                <w:b/>
                <w:lang w:val="en-US"/>
              </w:rPr>
            </w:pPr>
          </w:p>
        </w:tc>
      </w:tr>
      <w:tr w:rsidR="00920FAE" w:rsidTr="00680A98">
        <w:tc>
          <w:tcPr>
            <w:tcW w:w="2269" w:type="dxa"/>
          </w:tcPr>
          <w:p w:rsidR="00920FAE" w:rsidRPr="00594FAE" w:rsidRDefault="00920FAE" w:rsidP="00920FAE">
            <w:pPr>
              <w:rPr>
                <w:b/>
                <w:lang w:val="en-US"/>
              </w:rPr>
            </w:pPr>
            <w:r w:rsidRPr="00594FAE">
              <w:rPr>
                <w:b/>
                <w:lang w:val="en-US"/>
              </w:rPr>
              <w:t>2. Key Components</w:t>
            </w:r>
          </w:p>
        </w:tc>
        <w:tc>
          <w:tcPr>
            <w:tcW w:w="7461" w:type="dxa"/>
          </w:tcPr>
          <w:p w:rsidR="00920FAE" w:rsidRDefault="00920FAE">
            <w:pPr>
              <w:rPr>
                <w:b/>
                <w:lang w:val="en-US"/>
              </w:rPr>
            </w:pPr>
            <w:r w:rsidRPr="00920FAE">
              <w:rPr>
                <w:b/>
                <w:lang w:val="en-US"/>
              </w:rPr>
              <w:t>List of key components that makes up the Music curriculum in school</w:t>
            </w:r>
          </w:p>
          <w:p w:rsidR="00920FAE" w:rsidRDefault="00920FAE" w:rsidP="00920FA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20FAE">
              <w:rPr>
                <w:lang w:val="en-US"/>
              </w:rPr>
              <w:t xml:space="preserve">Music curriculum, singing </w:t>
            </w:r>
            <w:r>
              <w:rPr>
                <w:lang w:val="en-US"/>
              </w:rPr>
              <w:t>and instrumental teaching – EYFS, KS1, KS2, SEND</w:t>
            </w:r>
          </w:p>
          <w:p w:rsidR="00920FAE" w:rsidRDefault="00920FAE" w:rsidP="00920FA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Promotion of peripatetic lessons</w:t>
            </w:r>
          </w:p>
          <w:p w:rsidR="00920FAE" w:rsidRDefault="00920FAE" w:rsidP="00920FA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Links with ASONE hub</w:t>
            </w:r>
          </w:p>
          <w:p w:rsidR="00920FAE" w:rsidRDefault="00920FAE" w:rsidP="00920FA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Links with community music groups such as Launceston Town Band</w:t>
            </w:r>
          </w:p>
          <w:p w:rsidR="00920FAE" w:rsidRDefault="00920FAE" w:rsidP="00920FA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Performance Opportunities – Songfest, St </w:t>
            </w:r>
            <w:proofErr w:type="spellStart"/>
            <w:r>
              <w:rPr>
                <w:lang w:val="en-US"/>
              </w:rPr>
              <w:t>Piran’s</w:t>
            </w:r>
            <w:proofErr w:type="spellEnd"/>
            <w:r>
              <w:rPr>
                <w:lang w:val="en-US"/>
              </w:rPr>
              <w:t xml:space="preserve"> </w:t>
            </w:r>
            <w:r w:rsidR="0094219B">
              <w:rPr>
                <w:lang w:val="en-US"/>
              </w:rPr>
              <w:t>Event, Christmas performances, e</w:t>
            </w:r>
            <w:r>
              <w:rPr>
                <w:lang w:val="en-US"/>
              </w:rPr>
              <w:t>nd of Year performance</w:t>
            </w:r>
          </w:p>
          <w:p w:rsidR="00920FAE" w:rsidRPr="00920FAE" w:rsidRDefault="00920FAE" w:rsidP="00920FA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Whole school singing assemblies</w:t>
            </w:r>
          </w:p>
          <w:p w:rsidR="00920FAE" w:rsidRDefault="00920FAE">
            <w:pPr>
              <w:rPr>
                <w:b/>
                <w:lang w:val="en-US"/>
              </w:rPr>
            </w:pPr>
          </w:p>
          <w:p w:rsidR="00945AC0" w:rsidRDefault="00945AC0" w:rsidP="00945AC0">
            <w:pPr>
              <w:rPr>
                <w:color w:val="002060"/>
                <w:lang w:val="en-US"/>
              </w:rPr>
            </w:pPr>
            <w:r w:rsidRPr="00945AC0">
              <w:rPr>
                <w:color w:val="002060"/>
                <w:lang w:val="en-US"/>
              </w:rPr>
              <w:t>13.7.24</w:t>
            </w:r>
            <w:r>
              <w:rPr>
                <w:color w:val="002060"/>
                <w:lang w:val="en-US"/>
              </w:rPr>
              <w:t xml:space="preserve"> Music continues to be taught by </w:t>
            </w:r>
            <w:proofErr w:type="spellStart"/>
            <w:r>
              <w:rPr>
                <w:color w:val="002060"/>
                <w:lang w:val="en-US"/>
              </w:rPr>
              <w:t>Mr</w:t>
            </w:r>
            <w:proofErr w:type="spellEnd"/>
            <w:r>
              <w:rPr>
                <w:color w:val="002060"/>
                <w:lang w:val="en-US"/>
              </w:rPr>
              <w:t xml:space="preserve"> Harrison. Children are receiving weekly high quality music lessons. </w:t>
            </w:r>
          </w:p>
          <w:p w:rsidR="00945AC0" w:rsidRDefault="00945AC0" w:rsidP="00945AC0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Efforts have been made to promote peripatetic lessons – but no children/ parents have responded yet.</w:t>
            </w:r>
          </w:p>
          <w:p w:rsidR="00945AC0" w:rsidRPr="00945AC0" w:rsidRDefault="00945AC0" w:rsidP="00945AC0">
            <w:pPr>
              <w:rPr>
                <w:lang w:val="en-US"/>
              </w:rPr>
            </w:pPr>
            <w:r w:rsidRPr="00945AC0">
              <w:rPr>
                <w:color w:val="002060"/>
                <w:lang w:val="en-US"/>
              </w:rPr>
              <w:t xml:space="preserve"> It has proven challenging to </w:t>
            </w:r>
            <w:r>
              <w:rPr>
                <w:color w:val="002060"/>
                <w:lang w:val="en-US"/>
              </w:rPr>
              <w:t>participate in performance opportunities this year due to complexities around staffing. The updated hub model in September should ease this and efforts to perform with others will be prioritized.</w:t>
            </w:r>
          </w:p>
        </w:tc>
      </w:tr>
      <w:tr w:rsidR="00920FAE" w:rsidTr="00680A98">
        <w:tc>
          <w:tcPr>
            <w:tcW w:w="2269" w:type="dxa"/>
          </w:tcPr>
          <w:p w:rsidR="00920FAE" w:rsidRPr="00594FAE" w:rsidRDefault="00594FAE" w:rsidP="00594FAE">
            <w:pPr>
              <w:rPr>
                <w:b/>
                <w:lang w:val="en-US"/>
              </w:rPr>
            </w:pPr>
            <w:r w:rsidRPr="00594FAE">
              <w:rPr>
                <w:b/>
                <w:lang w:val="en-US"/>
              </w:rPr>
              <w:t>3.</w:t>
            </w:r>
            <w:r w:rsidR="00920FAE" w:rsidRPr="00594FAE">
              <w:rPr>
                <w:b/>
                <w:lang w:val="en-US"/>
              </w:rPr>
              <w:t>Classroom Instrumental teaching</w:t>
            </w:r>
          </w:p>
        </w:tc>
        <w:tc>
          <w:tcPr>
            <w:tcW w:w="7461" w:type="dxa"/>
          </w:tcPr>
          <w:p w:rsidR="00920FAE" w:rsidRDefault="00920FAE">
            <w:pPr>
              <w:rPr>
                <w:lang w:val="en-US"/>
              </w:rPr>
            </w:pPr>
            <w:r>
              <w:rPr>
                <w:lang w:val="en-US"/>
              </w:rPr>
              <w:t xml:space="preserve">Use of First Access scheme from ASONE hub to provide fully funded, whole class instrumental teaching for KS2. (includes a variety of instruments </w:t>
            </w:r>
            <w:r w:rsidR="00594FAE">
              <w:rPr>
                <w:lang w:val="en-US"/>
              </w:rPr>
              <w:t>such as brass, ukulele, keyboard)</w:t>
            </w:r>
          </w:p>
          <w:p w:rsidR="00594FAE" w:rsidRDefault="00594FAE">
            <w:pPr>
              <w:rPr>
                <w:lang w:val="en-US"/>
              </w:rPr>
            </w:pPr>
            <w:r>
              <w:rPr>
                <w:lang w:val="en-US"/>
              </w:rPr>
              <w:t>Use of pitched/ unpitched in EYFS/KS1/KS2</w:t>
            </w:r>
            <w:r w:rsidR="00945AC0">
              <w:rPr>
                <w:lang w:val="en-US"/>
              </w:rPr>
              <w:t xml:space="preserve"> </w:t>
            </w:r>
          </w:p>
          <w:p w:rsidR="00945AC0" w:rsidRDefault="00945AC0">
            <w:pPr>
              <w:rPr>
                <w:lang w:val="en-US"/>
              </w:rPr>
            </w:pPr>
          </w:p>
          <w:p w:rsidR="00945AC0" w:rsidRPr="00945AC0" w:rsidRDefault="00945AC0" w:rsidP="00945AC0">
            <w:pPr>
              <w:rPr>
                <w:color w:val="002060"/>
                <w:lang w:val="en-US"/>
              </w:rPr>
            </w:pPr>
            <w:r w:rsidRPr="00945AC0">
              <w:rPr>
                <w:color w:val="002060"/>
                <w:lang w:val="en-US"/>
              </w:rPr>
              <w:t xml:space="preserve">13.7.24 Contact has been made with ASONE regarding peripatetic music lessons and information shared with parents. At this stage, no parents/ children have expressed interest to pursue this further.  </w:t>
            </w:r>
          </w:p>
          <w:p w:rsidR="00945AC0" w:rsidRDefault="00945AC0" w:rsidP="00945AC0">
            <w:pPr>
              <w:rPr>
                <w:lang w:val="en-US"/>
              </w:rPr>
            </w:pPr>
            <w:r w:rsidRPr="00945AC0">
              <w:rPr>
                <w:color w:val="002060"/>
                <w:lang w:val="en-US"/>
              </w:rPr>
              <w:t>Action – to follow this up in new academic year</w:t>
            </w:r>
            <w:r>
              <w:rPr>
                <w:lang w:val="en-US"/>
              </w:rPr>
              <w:t>.</w:t>
            </w:r>
          </w:p>
        </w:tc>
      </w:tr>
      <w:tr w:rsidR="00920FAE" w:rsidTr="00680A98">
        <w:tc>
          <w:tcPr>
            <w:tcW w:w="2269" w:type="dxa"/>
          </w:tcPr>
          <w:p w:rsidR="00920FAE" w:rsidRPr="00C80575" w:rsidRDefault="00594FAE">
            <w:pPr>
              <w:rPr>
                <w:b/>
                <w:lang w:val="en-US"/>
              </w:rPr>
            </w:pPr>
            <w:r w:rsidRPr="00C80575">
              <w:rPr>
                <w:b/>
                <w:lang w:val="en-US"/>
              </w:rPr>
              <w:t>4. Implementation of key components</w:t>
            </w:r>
          </w:p>
        </w:tc>
        <w:tc>
          <w:tcPr>
            <w:tcW w:w="7461" w:type="dxa"/>
          </w:tcPr>
          <w:p w:rsidR="00920FAE" w:rsidRDefault="00594FAE">
            <w:pPr>
              <w:rPr>
                <w:lang w:val="en-US"/>
              </w:rPr>
            </w:pPr>
            <w:r>
              <w:rPr>
                <w:lang w:val="en-US"/>
              </w:rPr>
              <w:t xml:space="preserve">School has a rolling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of themes covered within the Sing-Up curriculum. </w:t>
            </w:r>
          </w:p>
          <w:p w:rsidR="00594FAE" w:rsidRDefault="00594FAE" w:rsidP="00594FAE">
            <w:pPr>
              <w:rPr>
                <w:lang w:val="en-US"/>
              </w:rPr>
            </w:pPr>
            <w:r>
              <w:rPr>
                <w:lang w:val="en-US"/>
              </w:rPr>
              <w:t>Assessment is conducted by recording audio/ video at the beginning and end of each unit. (With notes re specific successes and areas to develop)</w:t>
            </w:r>
          </w:p>
          <w:p w:rsidR="00594FAE" w:rsidRDefault="00594FAE" w:rsidP="00594FAE">
            <w:pPr>
              <w:rPr>
                <w:lang w:val="en-US"/>
              </w:rPr>
            </w:pPr>
            <w:r>
              <w:rPr>
                <w:lang w:val="en-US"/>
              </w:rPr>
              <w:t xml:space="preserve">Singing assemblies to prepare pupils for performance </w:t>
            </w:r>
          </w:p>
        </w:tc>
      </w:tr>
      <w:tr w:rsidR="00920FAE" w:rsidTr="00680A98">
        <w:tc>
          <w:tcPr>
            <w:tcW w:w="2269" w:type="dxa"/>
          </w:tcPr>
          <w:p w:rsidR="00920FAE" w:rsidRPr="00C80575" w:rsidRDefault="00C80575">
            <w:pPr>
              <w:rPr>
                <w:b/>
                <w:lang w:val="en-US"/>
              </w:rPr>
            </w:pPr>
            <w:r w:rsidRPr="00C80575">
              <w:rPr>
                <w:b/>
                <w:lang w:val="en-US"/>
              </w:rPr>
              <w:t>5. Communication Activities</w:t>
            </w:r>
          </w:p>
        </w:tc>
        <w:tc>
          <w:tcPr>
            <w:tcW w:w="7461" w:type="dxa"/>
          </w:tcPr>
          <w:p w:rsidR="00C80575" w:rsidRDefault="00C80575">
            <w:pPr>
              <w:rPr>
                <w:lang w:val="en-US"/>
              </w:rPr>
            </w:pPr>
            <w:r>
              <w:rPr>
                <w:lang w:val="en-US"/>
              </w:rPr>
              <w:t>Parents informed of musical opportunities through school newsletter.</w:t>
            </w:r>
          </w:p>
          <w:p w:rsidR="00920FAE" w:rsidRDefault="00C80575">
            <w:pPr>
              <w:rPr>
                <w:lang w:val="en-US"/>
              </w:rPr>
            </w:pPr>
            <w:r>
              <w:rPr>
                <w:lang w:val="en-US"/>
              </w:rPr>
              <w:t xml:space="preserve">Photos/ recordings of performance available to parents/ carers on social media where possible. </w:t>
            </w:r>
          </w:p>
        </w:tc>
      </w:tr>
      <w:tr w:rsidR="00920FAE" w:rsidTr="00680A98">
        <w:tc>
          <w:tcPr>
            <w:tcW w:w="2269" w:type="dxa"/>
          </w:tcPr>
          <w:p w:rsidR="00920FAE" w:rsidRPr="00680A98" w:rsidRDefault="00C80575">
            <w:pPr>
              <w:rPr>
                <w:b/>
                <w:lang w:val="en-US"/>
              </w:rPr>
            </w:pPr>
            <w:r w:rsidRPr="00680A98">
              <w:rPr>
                <w:b/>
                <w:lang w:val="en-US"/>
              </w:rPr>
              <w:t>6. Evaluation of process for the success of the Music Development Plan</w:t>
            </w:r>
          </w:p>
        </w:tc>
        <w:tc>
          <w:tcPr>
            <w:tcW w:w="7461" w:type="dxa"/>
          </w:tcPr>
          <w:p w:rsidR="00920FAE" w:rsidRDefault="00680A98">
            <w:pPr>
              <w:rPr>
                <w:lang w:val="en-US"/>
              </w:rPr>
            </w:pPr>
            <w:r>
              <w:rPr>
                <w:lang w:val="en-US"/>
              </w:rPr>
              <w:t>Half termly review – what is working?/ what are our successes/ what needs more support/ where is the support available from/ what changes need making?</w:t>
            </w:r>
          </w:p>
        </w:tc>
      </w:tr>
      <w:tr w:rsidR="00920FAE" w:rsidTr="00680A98">
        <w:tc>
          <w:tcPr>
            <w:tcW w:w="2269" w:type="dxa"/>
          </w:tcPr>
          <w:p w:rsidR="00920FAE" w:rsidRPr="009C784E" w:rsidRDefault="00680A98">
            <w:pPr>
              <w:rPr>
                <w:b/>
                <w:lang w:val="en-US"/>
              </w:rPr>
            </w:pPr>
            <w:r w:rsidRPr="009C784E">
              <w:rPr>
                <w:b/>
                <w:lang w:val="en-US"/>
              </w:rPr>
              <w:lastRenderedPageBreak/>
              <w:t>7. Transition work with local secondary schools</w:t>
            </w:r>
          </w:p>
        </w:tc>
        <w:tc>
          <w:tcPr>
            <w:tcW w:w="7461" w:type="dxa"/>
          </w:tcPr>
          <w:p w:rsidR="00920FAE" w:rsidRDefault="009C784E">
            <w:pPr>
              <w:rPr>
                <w:lang w:val="en-US"/>
              </w:rPr>
            </w:pPr>
            <w:r>
              <w:rPr>
                <w:lang w:val="en-US"/>
              </w:rPr>
              <w:t>Links have been made with Launceston College regarding possible music opportunities for our KS2 children.</w:t>
            </w:r>
          </w:p>
          <w:p w:rsidR="009C784E" w:rsidRDefault="009C784E">
            <w:pPr>
              <w:rPr>
                <w:lang w:val="en-US"/>
              </w:rPr>
            </w:pPr>
          </w:p>
        </w:tc>
      </w:tr>
      <w:tr w:rsidR="00920FAE" w:rsidTr="0072524E">
        <w:trPr>
          <w:trHeight w:val="1439"/>
        </w:trPr>
        <w:tc>
          <w:tcPr>
            <w:tcW w:w="2269" w:type="dxa"/>
          </w:tcPr>
          <w:p w:rsidR="00920FAE" w:rsidRPr="0072524E" w:rsidRDefault="009C784E">
            <w:pPr>
              <w:rPr>
                <w:b/>
                <w:lang w:val="en-US"/>
              </w:rPr>
            </w:pPr>
            <w:r w:rsidRPr="0072524E">
              <w:rPr>
                <w:b/>
                <w:lang w:val="en-US"/>
              </w:rPr>
              <w:t>8. Budget, Materials and Staffing</w:t>
            </w:r>
          </w:p>
        </w:tc>
        <w:tc>
          <w:tcPr>
            <w:tcW w:w="7461" w:type="dxa"/>
          </w:tcPr>
          <w:p w:rsidR="00920FAE" w:rsidRDefault="009C784E" w:rsidP="009C784E">
            <w:pPr>
              <w:rPr>
                <w:lang w:val="en-US"/>
              </w:rPr>
            </w:pPr>
            <w:r>
              <w:rPr>
                <w:lang w:val="en-US"/>
              </w:rPr>
              <w:t xml:space="preserve">Annual subscription to 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Harrison – Big Bang Music</w:t>
            </w:r>
            <w:r w:rsidR="00E6752A">
              <w:rPr>
                <w:lang w:val="en-US"/>
              </w:rPr>
              <w:t>. This provides bespoke provision – high quality teaching from an experienced professional and resourcing of lessons.</w:t>
            </w:r>
          </w:p>
          <w:p w:rsidR="002F1118" w:rsidRDefault="002F1118" w:rsidP="009C784E">
            <w:pPr>
              <w:rPr>
                <w:lang w:val="en-US"/>
              </w:rPr>
            </w:pPr>
            <w:r>
              <w:rPr>
                <w:lang w:val="en-US"/>
              </w:rPr>
              <w:t>Songfest Entry - £24</w:t>
            </w:r>
          </w:p>
          <w:p w:rsidR="002F1118" w:rsidRDefault="002F1118" w:rsidP="009C784E">
            <w:pPr>
              <w:rPr>
                <w:lang w:val="en-US"/>
              </w:rPr>
            </w:pPr>
            <w:r>
              <w:rPr>
                <w:lang w:val="en-US"/>
              </w:rPr>
              <w:t>Primary Engagement Lead ASONE hub</w:t>
            </w:r>
          </w:p>
          <w:p w:rsidR="00945AC0" w:rsidRDefault="00945AC0" w:rsidP="009C784E">
            <w:pPr>
              <w:rPr>
                <w:lang w:val="en-US"/>
              </w:rPr>
            </w:pPr>
          </w:p>
          <w:p w:rsidR="00C450FE" w:rsidRDefault="00C450FE" w:rsidP="009C784E">
            <w:pPr>
              <w:rPr>
                <w:lang w:val="en-US"/>
              </w:rPr>
            </w:pPr>
          </w:p>
          <w:p w:rsidR="00945AC0" w:rsidRDefault="00945AC0" w:rsidP="009C784E">
            <w:pPr>
              <w:rPr>
                <w:lang w:val="en-US"/>
              </w:rPr>
            </w:pPr>
          </w:p>
        </w:tc>
      </w:tr>
      <w:tr w:rsidR="00920FAE" w:rsidTr="00680A98">
        <w:tc>
          <w:tcPr>
            <w:tcW w:w="2269" w:type="dxa"/>
          </w:tcPr>
          <w:p w:rsidR="00920FAE" w:rsidRPr="0072524E" w:rsidRDefault="002F1118">
            <w:pPr>
              <w:rPr>
                <w:b/>
                <w:lang w:val="en-US"/>
              </w:rPr>
            </w:pPr>
            <w:r w:rsidRPr="0072524E">
              <w:rPr>
                <w:b/>
                <w:lang w:val="en-US"/>
              </w:rPr>
              <w:t xml:space="preserve">9. </w:t>
            </w:r>
            <w:r w:rsidR="0072524E" w:rsidRPr="0072524E">
              <w:rPr>
                <w:b/>
                <w:lang w:val="en-US"/>
              </w:rPr>
              <w:t>Pupil premium and SEND</w:t>
            </w:r>
          </w:p>
        </w:tc>
        <w:tc>
          <w:tcPr>
            <w:tcW w:w="7461" w:type="dxa"/>
          </w:tcPr>
          <w:p w:rsidR="0072524E" w:rsidRDefault="0072524E">
            <w:pPr>
              <w:rPr>
                <w:lang w:val="en-US"/>
              </w:rPr>
            </w:pPr>
            <w:r>
              <w:rPr>
                <w:lang w:val="en-US"/>
              </w:rPr>
              <w:t>Quality first teaching for all pupils</w:t>
            </w:r>
          </w:p>
          <w:p w:rsidR="0072524E" w:rsidRDefault="0072524E">
            <w:pPr>
              <w:rPr>
                <w:lang w:val="en-US"/>
              </w:rPr>
            </w:pPr>
            <w:r>
              <w:rPr>
                <w:lang w:val="en-US"/>
              </w:rPr>
              <w:t xml:space="preserve">Subsidies available for pupil premium pupils who engage with peripatetic </w:t>
            </w:r>
            <w:r w:rsidR="00767EBC">
              <w:rPr>
                <w:lang w:val="en-US"/>
              </w:rPr>
              <w:t>lessons</w:t>
            </w:r>
          </w:p>
        </w:tc>
      </w:tr>
      <w:tr w:rsidR="00920FAE" w:rsidTr="00680A98">
        <w:tc>
          <w:tcPr>
            <w:tcW w:w="2269" w:type="dxa"/>
          </w:tcPr>
          <w:p w:rsidR="00920FAE" w:rsidRPr="007B2C75" w:rsidRDefault="007B2C75">
            <w:pPr>
              <w:rPr>
                <w:b/>
                <w:lang w:val="en-US"/>
              </w:rPr>
            </w:pPr>
            <w:r w:rsidRPr="007B2C75">
              <w:rPr>
                <w:b/>
                <w:lang w:val="en-US"/>
              </w:rPr>
              <w:t>10. Summary Action plan</w:t>
            </w:r>
          </w:p>
        </w:tc>
        <w:tc>
          <w:tcPr>
            <w:tcW w:w="7461" w:type="dxa"/>
          </w:tcPr>
          <w:p w:rsidR="00920FAE" w:rsidRDefault="007B2C75">
            <w:pPr>
              <w:rPr>
                <w:lang w:val="en-US"/>
              </w:rPr>
            </w:pPr>
            <w:r>
              <w:rPr>
                <w:lang w:val="en-US"/>
              </w:rPr>
              <w:t>See attached.</w:t>
            </w:r>
          </w:p>
          <w:p w:rsidR="0072524E" w:rsidRDefault="0072524E">
            <w:pPr>
              <w:rPr>
                <w:lang w:val="en-US"/>
              </w:rPr>
            </w:pPr>
          </w:p>
        </w:tc>
      </w:tr>
    </w:tbl>
    <w:p w:rsidR="00920FAE" w:rsidRPr="00920FAE" w:rsidRDefault="00920FAE">
      <w:pPr>
        <w:rPr>
          <w:lang w:val="en-US"/>
        </w:rPr>
      </w:pPr>
    </w:p>
    <w:sectPr w:rsidR="00920FAE" w:rsidRPr="00920FAE" w:rsidSect="0072524E">
      <w:pgSz w:w="11906" w:h="16838"/>
      <w:pgMar w:top="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7B2C"/>
    <w:multiLevelType w:val="hybridMultilevel"/>
    <w:tmpl w:val="32FE9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B3250"/>
    <w:multiLevelType w:val="hybridMultilevel"/>
    <w:tmpl w:val="A692B1E2"/>
    <w:lvl w:ilvl="0" w:tplc="530AF8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AE"/>
    <w:rsid w:val="00033700"/>
    <w:rsid w:val="00147B35"/>
    <w:rsid w:val="002F1118"/>
    <w:rsid w:val="004A6EA8"/>
    <w:rsid w:val="00594FAE"/>
    <w:rsid w:val="00680A98"/>
    <w:rsid w:val="0072524E"/>
    <w:rsid w:val="00767EBC"/>
    <w:rsid w:val="007B2C75"/>
    <w:rsid w:val="00920FAE"/>
    <w:rsid w:val="0094219B"/>
    <w:rsid w:val="00945AC0"/>
    <w:rsid w:val="009C784E"/>
    <w:rsid w:val="00C450FE"/>
    <w:rsid w:val="00C80575"/>
    <w:rsid w:val="00CA7F9D"/>
    <w:rsid w:val="00E6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EEB11-4C85-4126-9941-0D546F89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65c78d-443c-4416-b171-7f4f1b23fc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8D94848C5864AB3F3C15C5FFE9AA1" ma:contentTypeVersion="16" ma:contentTypeDescription="Create a new document." ma:contentTypeScope="" ma:versionID="21bbc60278872993b1edb145f58ec728">
  <xsd:schema xmlns:xsd="http://www.w3.org/2001/XMLSchema" xmlns:xs="http://www.w3.org/2001/XMLSchema" xmlns:p="http://schemas.microsoft.com/office/2006/metadata/properties" xmlns:ns3="f465c78d-443c-4416-b171-7f4f1b23fc9b" xmlns:ns4="7279f635-88b4-4c78-84cf-e4397e5eabd1" targetNamespace="http://schemas.microsoft.com/office/2006/metadata/properties" ma:root="true" ma:fieldsID="22c7dd2d780e6535f62cda9175d550cb" ns3:_="" ns4:_="">
    <xsd:import namespace="f465c78d-443c-4416-b171-7f4f1b23fc9b"/>
    <xsd:import namespace="7279f635-88b4-4c78-84cf-e4397e5eab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5c78d-443c-4416-b171-7f4f1b23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f635-88b4-4c78-84cf-e4397e5ea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B249E-3EAB-4CEE-9966-D70F8C4E57BD}">
  <ds:schemaRefs>
    <ds:schemaRef ds:uri="http://schemas.microsoft.com/office/2006/metadata/properties"/>
    <ds:schemaRef ds:uri="http://schemas.microsoft.com/office/infopath/2007/PartnerControls"/>
    <ds:schemaRef ds:uri="f465c78d-443c-4416-b171-7f4f1b23fc9b"/>
  </ds:schemaRefs>
</ds:datastoreItem>
</file>

<file path=customXml/itemProps2.xml><?xml version="1.0" encoding="utf-8"?>
<ds:datastoreItem xmlns:ds="http://schemas.openxmlformats.org/officeDocument/2006/customXml" ds:itemID="{04F6F1A8-7D5D-41A0-ADA8-4B394CD4D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5c78d-443c-4416-b171-7f4f1b23fc9b"/>
    <ds:schemaRef ds:uri="7279f635-88b4-4c78-84cf-e4397e5e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256DE-BA26-4033-AEA7-90636D182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Davies</dc:creator>
  <cp:keywords/>
  <dc:description/>
  <cp:lastModifiedBy>Katherine Davies</cp:lastModifiedBy>
  <cp:revision>2</cp:revision>
  <cp:lastPrinted>2024-01-10T13:18:00Z</cp:lastPrinted>
  <dcterms:created xsi:type="dcterms:W3CDTF">2025-03-19T21:46:00Z</dcterms:created>
  <dcterms:modified xsi:type="dcterms:W3CDTF">2025-03-19T21:46:00Z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0x0101007CC8D94848C5864AB3F3C15C5FFE9AA1</vt:lpwstr>
  </property>
</Properties>
</file>